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tl w:val="0"/>
        </w:rPr>
        <w:t xml:space="preserve">Припрема за час</w:t>
      </w:r>
    </w:p>
    <w:tbl>
      <w:tblPr>
        <w:tblStyle w:val="Table1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6"/>
        <w:gridCol w:w="1559"/>
        <w:gridCol w:w="1558"/>
        <w:gridCol w:w="3117"/>
        <w:tblGridChange w:id="0">
          <w:tblGrid>
            <w:gridCol w:w="3116"/>
            <w:gridCol w:w="1559"/>
            <w:gridCol w:w="1558"/>
            <w:gridCol w:w="3117"/>
          </w:tblGrid>
        </w:tblGridChange>
      </w:tblGrid>
      <w:tr>
        <w:trPr>
          <w:cantSplit w:val="0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Предмет: Физика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6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Уџбеник: Физика 6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8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Издавач: Дата статус</w:t>
            </w:r>
          </w:p>
        </w:tc>
      </w:tr>
      <w:tr>
        <w:trPr>
          <w:cantSplit w:val="0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Наставник: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Час број: 9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Одељење: </w:t>
            </w:r>
          </w:p>
        </w:tc>
        <w:tc>
          <w:tcPr/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Датум:</w:t>
            </w:r>
          </w:p>
        </w:tc>
      </w:tr>
    </w:tbl>
    <w:p w:rsidR="00000000" w:rsidDel="00000000" w:rsidP="00000000" w:rsidRDefault="00000000" w:rsidRPr="00000000" w14:paraId="00000012">
      <w:pPr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45"/>
        <w:gridCol w:w="7105"/>
        <w:tblGridChange w:id="0">
          <w:tblGrid>
            <w:gridCol w:w="2245"/>
            <w:gridCol w:w="710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Наставна тема</w:t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КРЕТАЊЕ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Наставна јединица</w:t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Брзина, правац и смер кретања, векторски карактер брзине.  Подела кретања према облику путање и брзини тела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Тип часа</w:t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обрада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Циљ часа</w:t>
            </w:r>
          </w:p>
        </w:tc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да ученици усвоје појам брзине;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да се ученици  упознају са векторским карактером брзине;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да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ус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воје поделу кретања по облику путање и интензитету брзине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да ученици развију способност за посматрање и проучавање физичких појава;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да ученици развију способност за примену знања из физике;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да ученици развију способност за активно стицање знања.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Очекивани исходи на крају часа</w:t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4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 крају часа ученик ће знати: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дефинише брзину тела и опише векторске карактеристике брзине,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врсте кретања и описује их помоћу појмова и физичких величина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користи јединицу за брзину у SI систему:</w:t>
            </w:r>
            <m:oMath>
              <m:f>
                <m:fPr>
                  <m:ctrlPr>
                    <w:rPr>
                      <w:rFonts w:ascii="Cambria Math" w:cs="Cambria Math" w:eastAsia="Cambria Math" w:hAnsi="Cambria Math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m:ctrlPr>
                </m:fPr>
                <m:num>
                  <m:r>
                    <w:rPr>
                      <w:rFonts w:ascii="Cambria Math" w:cs="Cambria Math" w:eastAsia="Cambria Math" w:hAnsi="Cambria Math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  <m:t xml:space="preserve">m</m:t>
                  </m:r>
                </m:num>
                <m:den>
                  <m:r>
                    <w:rPr>
                      <w:rFonts w:ascii="Cambria Math" w:cs="Cambria Math" w:eastAsia="Cambria Math" w:hAnsi="Cambria Math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  <m:t xml:space="preserve">s</m:t>
                  </m:r>
                </m:den>
              </m:f>
            </m:oMath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m:oMath>
              <m:f>
                <m:fPr>
                  <m:ctrlPr>
                    <w:rPr>
                      <w:rFonts w:ascii="Cambria Math" w:cs="Cambria Math" w:eastAsia="Cambria Math" w:hAnsi="Cambria Math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m:ctrlPr>
                </m:fPr>
                <m:num>
                  <m:r>
                    <w:rPr>
                      <w:rFonts w:ascii="Cambria Math" w:cs="Cambria Math" w:eastAsia="Cambria Math" w:hAnsi="Cambria Math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  <m:t xml:space="preserve">km</m:t>
                  </m:r>
                </m:num>
                <m:den>
                  <m:r>
                    <w:rPr>
                      <w:rFonts w:ascii="Cambria Math" w:cs="Cambria Math" w:eastAsia="Cambria Math" w:hAnsi="Cambria Math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  <m:t xml:space="preserve">h</m:t>
                  </m:r>
                </m:den>
              </m:f>
            </m:oMath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4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Облик рада</w:t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Фронтални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, индивидуални, групни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Наставне методе</w:t>
            </w:r>
          </w:p>
        </w:tc>
        <w:tc>
          <w:tcPr/>
          <w:p w:rsidR="00000000" w:rsidDel="00000000" w:rsidP="00000000" w:rsidRDefault="00000000" w:rsidRPr="00000000" w14:paraId="0000002A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Монолошка, дијалошка, илустративно-демонстративна, метода рада са уџбеником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Наставна средства</w:t>
            </w:r>
          </w:p>
        </w:tc>
        <w:tc>
          <w:tcPr/>
          <w:p w:rsidR="00000000" w:rsidDel="00000000" w:rsidP="00000000" w:rsidRDefault="00000000" w:rsidRPr="00000000" w14:paraId="0000002C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Уџбеник, макета аутомобила, дугачка глатка даска дугачка 1m, штоперица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Међупредметне компетенције</w:t>
            </w:r>
          </w:p>
        </w:tc>
        <w:tc>
          <w:tcPr/>
          <w:p w:rsidR="00000000" w:rsidDel="00000000" w:rsidP="00000000" w:rsidRDefault="00000000" w:rsidRPr="00000000" w14:paraId="0000002E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Компетенција за учење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 Рад са подацима и информацијама 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Решавање проблема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Комуникација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Сарадња</w:t>
            </w:r>
          </w:p>
          <w:p w:rsidR="00000000" w:rsidDel="00000000" w:rsidP="00000000" w:rsidRDefault="00000000" w:rsidRPr="00000000" w14:paraId="00000034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center"/>
        <w:rPr/>
      </w:pPr>
      <w:r w:rsidDel="00000000" w:rsidR="00000000" w:rsidRPr="00000000">
        <w:rPr>
          <w:rtl w:val="0"/>
        </w:rPr>
        <w:t xml:space="preserve">Временска структура часа (ток часа)</w:t>
      </w:r>
    </w:p>
    <w:tbl>
      <w:tblPr>
        <w:tblStyle w:val="Table3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Уводни део часа ( 10 минута)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 уводном делу часа ученици су подељени у групе, наставник упућује ученике да реализују демонстрациони оглед из уџбеника на страни 35. Ученици реализују демонстрациони оглед, током реализације огледа наставник надгледа рад ученика и одговара на питања ученика. Ученици у школским свескама анализирају и илуструју демонстрациони оглед.</w:t>
            </w:r>
          </w:p>
        </w:tc>
      </w:tr>
    </w:tbl>
    <w:p w:rsidR="00000000" w:rsidDel="00000000" w:rsidP="00000000" w:rsidRDefault="00000000" w:rsidRPr="00000000" w14:paraId="00000039">
      <w:pPr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Главни део часа ( 30 минута)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Након изведеног огледа, представници сваке групе представљају своја запажања која су имали током извођења демонстрационог огледа.. Наставник та запажања бележи на табли. Ученици коментаришу рад групе која излаже, постављају питања и бележе одговоре.  </w:t>
            </w:r>
          </w:p>
          <w:p w:rsidR="00000000" w:rsidDel="00000000" w:rsidP="00000000" w:rsidRDefault="00000000" w:rsidRPr="00000000" w14:paraId="0000003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Наставник уводи појам брзине као физичке величине која описује колико се брзо креће физичко тело. </w:t>
            </w:r>
          </w:p>
          <w:p w:rsidR="00000000" w:rsidDel="00000000" w:rsidP="00000000" w:rsidRDefault="00000000" w:rsidRPr="00000000" w14:paraId="0000003D">
            <w:pPr>
              <w:jc w:val="both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Брзина кретања неког тела је једнака количнику пређеног пута који то тело пређе и времена за које то тело пређе тај пут.</w:t>
            </w:r>
          </w:p>
          <w:p w:rsidR="00000000" w:rsidDel="00000000" w:rsidP="00000000" w:rsidRDefault="00000000" w:rsidRPr="00000000" w14:paraId="0000003E">
            <w:pPr>
              <w:jc w:val="center"/>
              <w:rPr>
                <w:rFonts w:ascii="Cambria Math" w:cs="Cambria Math" w:eastAsia="Cambria Math" w:hAnsi="Cambria Math"/>
                <w:highlight w:val="white"/>
              </w:rPr>
            </w:pPr>
            <m:oMath>
              <m:r>
                <w:rPr>
                  <w:rFonts w:ascii="Cambria Math" w:cs="Cambria Math" w:eastAsia="Cambria Math" w:hAnsi="Cambria Math"/>
                  <w:highlight w:val="white"/>
                </w:rPr>
                <m:t xml:space="preserve">брзина=</m:t>
              </m:r>
              <m:f>
                <m:fPr>
                  <m:ctrlPr>
                    <w:rPr>
                      <w:rFonts w:ascii="Cambria Math" w:cs="Cambria Math" w:eastAsia="Cambria Math" w:hAnsi="Cambria Math"/>
                      <w:highlight w:val="white"/>
                    </w:rPr>
                  </m:ctrlPr>
                </m:fPr>
                <m:num>
                  <m:r>
                    <w:rPr>
                      <w:rFonts w:ascii="Cambria Math" w:cs="Cambria Math" w:eastAsia="Cambria Math" w:hAnsi="Cambria Math"/>
                      <w:highlight w:val="white"/>
                    </w:rPr>
                    <m:t xml:space="preserve">пређени пут</m:t>
                  </m:r>
                </m:num>
                <m:den>
                  <m:r>
                    <w:rPr>
                      <w:rFonts w:ascii="Cambria Math" w:cs="Cambria Math" w:eastAsia="Cambria Math" w:hAnsi="Cambria Math"/>
                      <w:highlight w:val="white"/>
                    </w:rPr>
                    <m:t xml:space="preserve">време</m:t>
                  </m:r>
                </m:den>
              </m:f>
            </m:oMath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jc w:val="both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 Формула по којој се рачуна брзина:</w:t>
            </w:r>
          </w:p>
          <w:p w:rsidR="00000000" w:rsidDel="00000000" w:rsidP="00000000" w:rsidRDefault="00000000" w:rsidRPr="00000000" w14:paraId="00000040">
            <w:pPr>
              <w:jc w:val="center"/>
              <w:rPr>
                <w:rFonts w:ascii="Cambria Math" w:cs="Cambria Math" w:eastAsia="Cambria Math" w:hAnsi="Cambria Math"/>
                <w:highlight w:val="white"/>
              </w:rPr>
            </w:pPr>
            <m:oMath>
              <m:r>
                <w:rPr>
                  <w:rFonts w:ascii="Cambria Math" w:cs="Cambria Math" w:eastAsia="Cambria Math" w:hAnsi="Cambria Math"/>
                  <w:highlight w:val="white"/>
                </w:rPr>
                <m:t xml:space="preserve">v=</m:t>
              </m:r>
              <m:f>
                <m:fPr>
                  <m:ctrlPr>
                    <w:rPr>
                      <w:rFonts w:ascii="Cambria Math" w:cs="Cambria Math" w:eastAsia="Cambria Math" w:hAnsi="Cambria Math"/>
                      <w:highlight w:val="white"/>
                    </w:rPr>
                  </m:ctrlPr>
                </m:fPr>
                <m:num>
                  <m:r>
                    <w:rPr>
                      <w:rFonts w:ascii="Cambria Math" w:cs="Cambria Math" w:eastAsia="Cambria Math" w:hAnsi="Cambria Math"/>
                      <w:highlight w:val="white"/>
                    </w:rPr>
                    <m:t xml:space="preserve">s</m:t>
                  </m:r>
                </m:num>
                <m:den>
                  <m:r>
                    <w:rPr>
                      <w:rFonts w:ascii="Cambria Math" w:cs="Cambria Math" w:eastAsia="Cambria Math" w:hAnsi="Cambria Math"/>
                      <w:highlight w:val="white"/>
                    </w:rPr>
                    <m:t xml:space="preserve">t</m:t>
                  </m:r>
                </m:den>
              </m:f>
            </m:oMath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Уз помоћ наставника ученици изводе мерну јединицу за брзину: </w:t>
            </w:r>
            <m:oMath>
              <m:f>
                <m:fPr>
                  <m:ctrlPr>
                    <w:rPr>
                      <w:rFonts w:ascii="Cambria Math" w:cs="Cambria Math" w:eastAsia="Cambria Math" w:hAnsi="Cambria Math"/>
                    </w:rPr>
                  </m:ctrlPr>
                </m:fPr>
                <m:num>
                  <m:r>
                    <w:rPr>
                      <w:rFonts w:ascii="Cambria Math" w:cs="Cambria Math" w:eastAsia="Cambria Math" w:hAnsi="Cambria Math"/>
                    </w:rPr>
                    <m:t xml:space="preserve">m</m:t>
                  </m:r>
                </m:num>
                <m:den>
                  <m:r>
                    <w:rPr>
                      <w:rFonts w:ascii="Cambria Math" w:cs="Cambria Math" w:eastAsia="Cambria Math" w:hAnsi="Cambria Math"/>
                    </w:rPr>
                    <m:t xml:space="preserve">s</m:t>
                  </m:r>
                </m:den>
              </m:f>
            </m:oMath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Наставник показује поступак претварања </w:t>
            </w:r>
            <m:oMath>
              <m:f>
                <m:fPr>
                  <m:ctrlPr>
                    <w:rPr>
                      <w:rFonts w:ascii="Cambria Math" w:cs="Cambria Math" w:eastAsia="Cambria Math" w:hAnsi="Cambria Math"/>
                      <w:highlight w:val="white"/>
                    </w:rPr>
                  </m:ctrlPr>
                </m:fPr>
                <m:num>
                  <m:r>
                    <w:rPr>
                      <w:rFonts w:ascii="Cambria Math" w:cs="Cambria Math" w:eastAsia="Cambria Math" w:hAnsi="Cambria Math"/>
                      <w:highlight w:val="white"/>
                    </w:rPr>
                    <m:t xml:space="preserve">m</m:t>
                  </m:r>
                </m:num>
                <m:den>
                  <m:r>
                    <w:rPr>
                      <w:rFonts w:ascii="Cambria Math" w:cs="Cambria Math" w:eastAsia="Cambria Math" w:hAnsi="Cambria Math"/>
                      <w:highlight w:val="white"/>
                    </w:rPr>
                    <m:t xml:space="preserve">s</m:t>
                  </m:r>
                </m:den>
              </m:f>
            </m:oMath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 у </w:t>
            </w:r>
            <m:oMath>
              <m:f>
                <m:fPr>
                  <m:ctrlPr>
                    <w:rPr>
                      <w:rFonts w:ascii="Cambria Math" w:cs="Cambria Math" w:eastAsia="Cambria Math" w:hAnsi="Cambria Math"/>
                      <w:highlight w:val="white"/>
                    </w:rPr>
                  </m:ctrlPr>
                </m:fPr>
                <m:num>
                  <m:r>
                    <w:rPr>
                      <w:rFonts w:ascii="Cambria Math" w:cs="Cambria Math" w:eastAsia="Cambria Math" w:hAnsi="Cambria Math"/>
                      <w:highlight w:val="white"/>
                    </w:rPr>
                    <m:t xml:space="preserve">km</m:t>
                  </m:r>
                </m:num>
                <m:den>
                  <m:r>
                    <w:rPr>
                      <w:rFonts w:ascii="Cambria Math" w:cs="Cambria Math" w:eastAsia="Cambria Math" w:hAnsi="Cambria Math"/>
                      <w:highlight w:val="white"/>
                    </w:rPr>
                    <m:t xml:space="preserve">h</m:t>
                  </m:r>
                </m:den>
              </m:f>
            </m:oMath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 на конкретном примеру који су навели ученици.</w:t>
            </w:r>
          </w:p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На примеру из свакодневног живота наставник објашњава ученицима да је брзина векторска величина која има правац, смер и интезитет. Кроз пример објашњава да су векторске физичке величине оне величине које имају правац, смер и интезитет.</w:t>
            </w:r>
          </w:p>
          <w:p w:rsidR="00000000" w:rsidDel="00000000" w:rsidP="00000000" w:rsidRDefault="00000000" w:rsidRPr="00000000" w14:paraId="00000043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7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Завршни део часа ( 5 минута)</w:t>
            </w:r>
          </w:p>
          <w:p w:rsidR="00000000" w:rsidDel="00000000" w:rsidP="00000000" w:rsidRDefault="00000000" w:rsidRPr="00000000" w14:paraId="00000048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 завршном делу часа наставник проверава усвојеност планираних исхода задајући ученицима да ураде задатак број 4. са стране 13. у збирци задатака.</w:t>
            </w:r>
          </w:p>
          <w:p w:rsidR="00000000" w:rsidDel="00000000" w:rsidP="00000000" w:rsidRDefault="00000000" w:rsidRPr="00000000" w14:paraId="00000049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Домаћи задатак: задаци 1. , 2. и 3. из збирке задатака са стране 23.</w:t>
            </w:r>
          </w:p>
          <w:p w:rsidR="00000000" w:rsidDel="00000000" w:rsidP="00000000" w:rsidRDefault="00000000" w:rsidRPr="00000000" w14:paraId="0000004A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center"/>
        <w:rPr/>
      </w:pPr>
      <w:r w:rsidDel="00000000" w:rsidR="00000000" w:rsidRPr="00000000">
        <w:rPr>
          <w:rtl w:val="0"/>
        </w:rPr>
        <w:t xml:space="preserve">Запажања о часу и самоеволуација</w:t>
      </w:r>
    </w:p>
    <w:tbl>
      <w:tblPr>
        <w:tblStyle w:val="Table5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rPr>
          <w:cantSplit w:val="0"/>
          <w:trHeight w:val="1520" w:hRule="atLeast"/>
          <w:tblHeader w:val="0"/>
        </w:trPr>
        <w:tc>
          <w:tcPr/>
          <w:p w:rsidR="00000000" w:rsidDel="00000000" w:rsidP="00000000" w:rsidRDefault="00000000" w:rsidRPr="00000000" w14:paraId="0000004F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Потешкоће са  којима сам се сусрео/сусрела током часа и како су превазиђене 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30" w:hRule="atLeast"/>
          <w:tblHeader w:val="0"/>
        </w:trPr>
        <w:tc>
          <w:tcPr/>
          <w:p w:rsidR="00000000" w:rsidDel="00000000" w:rsidP="00000000" w:rsidRDefault="00000000" w:rsidRPr="00000000" w14:paraId="00000050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Да ли ми је адекватан избор начина провере остварености исхода?</w:t>
            </w:r>
          </w:p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10" w:hRule="atLeast"/>
          <w:tblHeader w:val="0"/>
        </w:trPr>
        <w:tc>
          <w:tcPr/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  <w:t xml:space="preserve">Променио/ла бих:</w:t>
            </w:r>
          </w:p>
        </w:tc>
      </w:tr>
      <w:tr>
        <w:trPr>
          <w:cantSplit w:val="0"/>
          <w:trHeight w:val="1790" w:hRule="atLeast"/>
          <w:tblHeader w:val="0"/>
        </w:trPr>
        <w:tc>
          <w:tcPr/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54">
      <w:pPr>
        <w:jc w:val="center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Cambria Math">
    <w:embedRegular w:fontKey="{00000000-0000-0000-0000-000000000000}" r:id="rId3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0"/>
      <w:numFmt w:val="bullet"/>
      <w:lvlText w:val="−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0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0"/>
      <w:numFmt w:val="bullet"/>
      <w:lvlText w:val="−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0"/>
      <w:numFmt w:val="bullet"/>
      <w:lvlText w:val="−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623"/>
      <w:numFmt w:val="bullet"/>
      <w:lvlText w:val="–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CambriaMath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